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新疆财政支出绩效自评报告编制要求</w:t>
      </w:r>
    </w:p>
    <w:p>
      <w:pPr>
        <w:adjustRightInd w:val="0"/>
        <w:snapToGrid w:val="0"/>
        <w:spacing w:line="560" w:lineRule="exact"/>
        <w:ind w:firstLine="624" w:firstLineChars="200"/>
        <w:outlineLvl w:val="0"/>
        <w:rPr>
          <w:rStyle w:val="21"/>
          <w:rFonts w:ascii="黑体" w:hAnsi="黑体" w:eastAsia="黑体"/>
          <w:b w:val="0"/>
          <w:spacing w:val="-4"/>
          <w:sz w:val="32"/>
          <w:szCs w:val="32"/>
        </w:rPr>
      </w:pPr>
      <w:r>
        <w:rPr>
          <w:rStyle w:val="21"/>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21"/>
          <w:rFonts w:ascii="楷体" w:hAnsi="楷体" w:eastAsia="楷体"/>
          <w:spacing w:val="-4"/>
          <w:sz w:val="32"/>
          <w:szCs w:val="32"/>
        </w:rPr>
      </w:pPr>
      <w:r>
        <w:rPr>
          <w:rStyle w:val="21"/>
          <w:rFonts w:hint="eastAsia" w:ascii="楷体" w:hAnsi="楷体" w:eastAsia="楷体"/>
          <w:spacing w:val="-4"/>
          <w:sz w:val="32"/>
          <w:szCs w:val="32"/>
        </w:rPr>
        <w:t>（一）项目单位基本情况</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环评单位：北京中企安信环境科技有限公司</w:t>
      </w:r>
    </w:p>
    <w:p>
      <w:pPr>
        <w:adjustRightInd w:val="0"/>
        <w:snapToGrid w:val="0"/>
        <w:spacing w:line="560" w:lineRule="exact"/>
        <w:ind w:firstLine="627" w:firstLineChars="200"/>
        <w:rPr>
          <w:rStyle w:val="21"/>
          <w:rFonts w:ascii="楷体" w:hAnsi="楷体" w:eastAsia="楷体"/>
          <w:spacing w:val="-4"/>
          <w:sz w:val="32"/>
          <w:szCs w:val="32"/>
        </w:rPr>
      </w:pPr>
      <w:r>
        <w:rPr>
          <w:rStyle w:val="21"/>
          <w:rFonts w:hint="eastAsia" w:ascii="楷体" w:hAnsi="楷体" w:eastAsia="楷体"/>
          <w:spacing w:val="-4"/>
          <w:sz w:val="32"/>
          <w:szCs w:val="32"/>
        </w:rPr>
        <w:t>（二）项目预算</w:t>
      </w:r>
      <w:r>
        <w:rPr>
          <w:rStyle w:val="21"/>
          <w:rFonts w:ascii="楷体" w:hAnsi="楷体" w:eastAsia="楷体"/>
          <w:spacing w:val="-4"/>
          <w:sz w:val="32"/>
          <w:szCs w:val="32"/>
        </w:rPr>
        <w:t>绩效目标</w:t>
      </w:r>
      <w:r>
        <w:rPr>
          <w:rStyle w:val="21"/>
          <w:rFonts w:hint="eastAsia" w:ascii="楷体" w:hAnsi="楷体" w:eastAsia="楷体"/>
          <w:spacing w:val="-4"/>
          <w:sz w:val="32"/>
          <w:szCs w:val="32"/>
        </w:rPr>
        <w:t>设定情况</w:t>
      </w:r>
    </w:p>
    <w:p>
      <w:pPr>
        <w:keepNext w:val="0"/>
        <w:keepLines w:val="0"/>
        <w:pageBreakBefore w:val="0"/>
        <w:widowControl w:val="0"/>
        <w:kinsoku/>
        <w:wordWrap/>
        <w:overflowPunct/>
        <w:autoSpaceDE/>
        <w:autoSpaceDN/>
        <w:bidi w:val="0"/>
        <w:adjustRightInd w:val="0"/>
        <w:snapToGrid w:val="0"/>
        <w:spacing w:line="360" w:lineRule="auto"/>
        <w:ind w:firstLine="624" w:firstLineChars="200"/>
        <w:textAlignment w:val="auto"/>
        <w:rPr>
          <w:rFonts w:hint="eastAsia" w:ascii="Times" w:hAnsi="Times"/>
          <w:color w:val="000000"/>
          <w:spacing w:val="-2"/>
          <w:sz w:val="28"/>
          <w:szCs w:val="28"/>
        </w:rPr>
      </w:pPr>
      <w:r>
        <w:rPr>
          <w:rFonts w:hint="eastAsia" w:ascii="仿宋" w:hAnsi="仿宋" w:eastAsia="仿宋"/>
          <w:b/>
          <w:bCs/>
          <w:spacing w:val="-4"/>
          <w:sz w:val="32"/>
          <w:szCs w:val="32"/>
        </w:rPr>
        <w:t>1、项目预期目标及阶段性目标</w:t>
      </w:r>
    </w:p>
    <w:p>
      <w:pPr>
        <w:keepNext w:val="0"/>
        <w:keepLines w:val="0"/>
        <w:pageBreakBefore w:val="0"/>
        <w:widowControl w:val="0"/>
        <w:kinsoku/>
        <w:wordWrap/>
        <w:overflowPunct/>
        <w:topLinePunct/>
        <w:autoSpaceDE/>
        <w:autoSpaceDN/>
        <w:bidi w:val="0"/>
        <w:snapToGrid w:val="0"/>
        <w:spacing w:line="360" w:lineRule="auto"/>
        <w:ind w:firstLine="632" w:firstLineChars="200"/>
        <w:textAlignment w:val="auto"/>
        <w:rPr>
          <w:rFonts w:hint="default" w:ascii="仿宋_GB2312" w:hAnsi="仿宋_GB2312" w:eastAsia="仿宋_GB2312" w:cs="仿宋_GB2312"/>
          <w:color w:val="000000"/>
          <w:spacing w:val="-2"/>
          <w:sz w:val="32"/>
          <w:szCs w:val="32"/>
          <w:lang w:eastAsia="zh-CN"/>
        </w:rPr>
      </w:pPr>
      <w:r>
        <w:rPr>
          <w:rFonts w:hint="default" w:ascii="仿宋_GB2312" w:hAnsi="仿宋_GB2312" w:eastAsia="仿宋_GB2312" w:cs="仿宋_GB2312"/>
          <w:color w:val="000000"/>
          <w:spacing w:val="-2"/>
          <w:sz w:val="32"/>
          <w:szCs w:val="32"/>
          <w:lang w:eastAsia="zh-CN"/>
        </w:rPr>
        <w:t>新的历史时期，我国的农村水利工作紧紧围绕建设社会主义新农村的要求，按照以人为本，全面、</w:t>
      </w:r>
      <w:bookmarkStart w:id="0" w:name="_GoBack"/>
      <w:bookmarkEnd w:id="0"/>
      <w:r>
        <w:rPr>
          <w:rFonts w:hint="default" w:ascii="仿宋_GB2312" w:hAnsi="仿宋_GB2312" w:eastAsia="仿宋_GB2312" w:cs="仿宋_GB2312"/>
          <w:color w:val="000000"/>
          <w:spacing w:val="-2"/>
          <w:sz w:val="32"/>
          <w:szCs w:val="32"/>
          <w:lang w:eastAsia="zh-CN"/>
        </w:rPr>
        <w:t>协调、可持续发展的原则，以水资源的高效利用为核心，以提高农业综合生产能力和改善农村生态环境为目标，以发展农业节水灌溉和水土环境综合整治为重点，积极探索新形势下开展农田水利基本建设的新机制、新办法，深化农田水利工程管理体制与运营机制改革，进一步改革和完善农田水利建设政策体系、投入方式、组织形式，努力引导和促进农民增收，为全面实现小康目标奠定坚实基础。</w:t>
      </w:r>
    </w:p>
    <w:p>
      <w:pPr>
        <w:topLinePunct/>
        <w:snapToGrid w:val="0"/>
        <w:spacing w:line="360" w:lineRule="auto"/>
        <w:ind w:firstLine="632" w:firstLineChars="200"/>
        <w:rPr>
          <w:rFonts w:hint="default" w:ascii="仿宋_GB2312" w:hAnsi="仿宋_GB2312" w:eastAsia="仿宋_GB2312" w:cs="仿宋_GB2312"/>
          <w:color w:val="000000"/>
          <w:spacing w:val="-2"/>
          <w:sz w:val="32"/>
          <w:szCs w:val="32"/>
          <w:lang w:eastAsia="zh-CN"/>
        </w:rPr>
      </w:pPr>
      <w:r>
        <w:rPr>
          <w:rFonts w:hint="default" w:ascii="仿宋_GB2312" w:hAnsi="仿宋_GB2312" w:eastAsia="仿宋_GB2312" w:cs="仿宋_GB2312"/>
          <w:color w:val="000000"/>
          <w:spacing w:val="-2"/>
          <w:sz w:val="32"/>
          <w:szCs w:val="32"/>
          <w:lang w:val="en-US" w:eastAsia="zh-CN"/>
        </w:rPr>
        <w:t>目前新疆水资源匮乏，土地沙化日益严重，农业生产效益低下，严重制约了新疆农村的经济、社会发展。</w:t>
      </w:r>
      <w:r>
        <w:rPr>
          <w:rFonts w:hint="default" w:ascii="仿宋_GB2312" w:hAnsi="仿宋_GB2312" w:eastAsia="仿宋_GB2312" w:cs="仿宋_GB2312"/>
          <w:color w:val="000000"/>
          <w:spacing w:val="-2"/>
          <w:sz w:val="32"/>
          <w:szCs w:val="32"/>
          <w:lang w:eastAsia="zh-CN"/>
        </w:rPr>
        <w:t>由于地理位置偏远，当地政府资金缺乏、基础设施建设不完善、经济投入力度不足，灌区内水利工程设施较简陋、配套不完善，农业用水没有得到很好的保障、沿线水资源浪费严重等问题，制约着灌区的经济发展和人民生活水平的进一步提高。同时这一定程度影响了英吉沙县的发展和实施现代化社会主义新农村建设的顺利开展。</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default" w:ascii="仿宋_GB2312" w:hAnsi="仿宋_GB2312" w:eastAsia="仿宋_GB2312" w:cs="仿宋_GB2312"/>
          <w:color w:val="000000"/>
          <w:spacing w:val="-2"/>
          <w:sz w:val="32"/>
          <w:szCs w:val="32"/>
          <w:lang w:eastAsia="zh-CN"/>
        </w:rPr>
        <w:t>为改善灌区农业生产环境，推动灌区实施节水灌溉，合理利用、配置水资源，实现灌区农业发展和周围生态环境双赢的局面。</w:t>
      </w:r>
      <w:r>
        <w:rPr>
          <w:rFonts w:hint="eastAsia" w:ascii="仿宋_GB2312" w:hAnsi="仿宋_GB2312" w:eastAsia="仿宋_GB2312" w:cs="仿宋_GB2312"/>
          <w:color w:val="000000"/>
          <w:spacing w:val="-2"/>
          <w:sz w:val="32"/>
          <w:szCs w:val="32"/>
          <w:lang w:eastAsia="zh-CN"/>
        </w:rPr>
        <w:t>根据《中华人民共和国环境保护法》和国务院令第682号《建设项目环境保护管理条例》等有关法律、法规规定，须进行环境影响评价工作。</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numPr>
          <w:numId w:val="0"/>
        </w:numPr>
        <w:adjustRightInd w:val="0"/>
        <w:snapToGrid w:val="0"/>
        <w:spacing w:line="560" w:lineRule="exact"/>
        <w:ind w:firstLine="1264" w:firstLineChars="400"/>
        <w:rPr>
          <w:rFonts w:hint="eastAsia" w:ascii="仿宋" w:hAnsi="仿宋" w:eastAsia="仿宋"/>
          <w:b/>
          <w:bCs/>
          <w:spacing w:val="-4"/>
          <w:sz w:val="32"/>
          <w:szCs w:val="32"/>
          <w:lang w:val="en-US"/>
        </w:rPr>
      </w:pPr>
      <w:r>
        <w:rPr>
          <w:rFonts w:hint="eastAsia" w:ascii="仿宋_GB2312" w:hAnsi="仿宋_GB2312" w:eastAsia="仿宋_GB2312" w:cs="仿宋_GB2312"/>
          <w:color w:val="000000"/>
          <w:spacing w:val="-2"/>
          <w:sz w:val="32"/>
          <w:szCs w:val="32"/>
          <w:lang w:eastAsia="zh-CN"/>
        </w:rPr>
        <w:t>本项目是补做以前年度项目环评费；</w:t>
      </w:r>
    </w:p>
    <w:p>
      <w:pPr>
        <w:numPr>
          <w:ilvl w:val="0"/>
          <w:numId w:val="1"/>
        </w:numPr>
        <w:adjustRightInd w:val="0"/>
        <w:snapToGrid w:val="0"/>
        <w:spacing w:line="560" w:lineRule="exact"/>
        <w:ind w:firstLine="624" w:firstLineChars="200"/>
        <w:rPr>
          <w:rFonts w:hint="eastAsia" w:ascii="仿宋" w:hAnsi="仿宋" w:eastAsia="仿宋"/>
          <w:b/>
          <w:bCs/>
          <w:spacing w:val="-4"/>
          <w:sz w:val="32"/>
          <w:szCs w:val="32"/>
        </w:rPr>
      </w:pPr>
      <w:r>
        <w:rPr>
          <w:rFonts w:hint="eastAsia" w:ascii="仿宋" w:hAnsi="仿宋" w:eastAsia="仿宋"/>
          <w:b/>
          <w:bCs/>
          <w:spacing w:val="-4"/>
          <w:sz w:val="32"/>
          <w:szCs w:val="32"/>
        </w:rPr>
        <w:t>项目用途及范围</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val="en-US" w:eastAsia="zh-CN"/>
        </w:rPr>
      </w:pPr>
      <w:r>
        <w:rPr>
          <w:rFonts w:hint="eastAsia" w:ascii="仿宋_GB2312" w:hAnsi="仿宋_GB2312" w:eastAsia="仿宋_GB2312" w:cs="仿宋_GB2312"/>
          <w:color w:val="000000"/>
          <w:spacing w:val="-2"/>
          <w:sz w:val="32"/>
          <w:szCs w:val="32"/>
        </w:rPr>
        <w:t>项目环境影响报告</w:t>
      </w:r>
      <w:r>
        <w:rPr>
          <w:rFonts w:hint="eastAsia" w:ascii="仿宋_GB2312" w:hAnsi="仿宋_GB2312" w:eastAsia="仿宋_GB2312" w:cs="仿宋_GB2312"/>
          <w:color w:val="000000"/>
          <w:spacing w:val="-2"/>
          <w:sz w:val="32"/>
          <w:szCs w:val="32"/>
          <w:lang w:val="en-US" w:eastAsia="zh-CN"/>
        </w:rPr>
        <w:t>28个。</w:t>
      </w:r>
    </w:p>
    <w:p>
      <w:pPr>
        <w:topLinePunct/>
        <w:snapToGrid w:val="0"/>
        <w:spacing w:line="360" w:lineRule="auto"/>
        <w:ind w:firstLine="624" w:firstLineChars="200"/>
        <w:rPr>
          <w:rStyle w:val="21"/>
          <w:rFonts w:ascii="黑体" w:hAnsi="黑体" w:eastAsia="黑体"/>
          <w:b w:val="0"/>
          <w:spacing w:val="-4"/>
          <w:sz w:val="32"/>
          <w:szCs w:val="32"/>
        </w:rPr>
      </w:pPr>
      <w:r>
        <w:rPr>
          <w:rStyle w:val="21"/>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21"/>
          <w:rFonts w:ascii="楷体" w:hAnsi="楷体" w:eastAsia="楷体"/>
          <w:spacing w:val="-4"/>
          <w:sz w:val="32"/>
          <w:szCs w:val="32"/>
        </w:rPr>
      </w:pPr>
      <w:r>
        <w:rPr>
          <w:rStyle w:val="21"/>
          <w:rFonts w:hint="eastAsia" w:ascii="楷体" w:hAnsi="楷体" w:eastAsia="楷体"/>
          <w:spacing w:val="-4"/>
          <w:sz w:val="32"/>
          <w:szCs w:val="32"/>
        </w:rPr>
        <w:t>（一）项目资金安排落实、总投入等情况分析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rPr>
      </w:pPr>
      <w:r>
        <w:rPr>
          <w:rFonts w:hint="eastAsia" w:ascii="仿宋_GB2312" w:hAnsi="仿宋_GB2312" w:eastAsia="仿宋_GB2312" w:cs="仿宋_GB2312"/>
          <w:color w:val="000000"/>
          <w:spacing w:val="-2"/>
          <w:sz w:val="32"/>
          <w:szCs w:val="32"/>
        </w:rPr>
        <w:t>项目环境影响报告预算安排总额为</w:t>
      </w:r>
      <w:r>
        <w:rPr>
          <w:rFonts w:hint="eastAsia" w:ascii="仿宋_GB2312" w:hAnsi="仿宋_GB2312" w:eastAsia="仿宋_GB2312" w:cs="仿宋_GB2312"/>
          <w:color w:val="000000"/>
          <w:spacing w:val="-2"/>
          <w:sz w:val="32"/>
          <w:szCs w:val="32"/>
          <w:lang w:val="en-US" w:eastAsia="zh-CN"/>
        </w:rPr>
        <w:t>36.4</w:t>
      </w:r>
      <w:r>
        <w:rPr>
          <w:rFonts w:hint="eastAsia" w:ascii="仿宋_GB2312" w:hAnsi="仿宋_GB2312" w:eastAsia="仿宋_GB2312" w:cs="仿宋_GB2312"/>
          <w:color w:val="000000"/>
          <w:spacing w:val="-2"/>
          <w:sz w:val="32"/>
          <w:szCs w:val="32"/>
        </w:rPr>
        <w:t>万元，其中财政资金</w:t>
      </w:r>
      <w:r>
        <w:rPr>
          <w:rFonts w:hint="eastAsia" w:ascii="仿宋_GB2312" w:hAnsi="仿宋_GB2312" w:eastAsia="仿宋_GB2312" w:cs="仿宋_GB2312"/>
          <w:color w:val="000000"/>
          <w:spacing w:val="-2"/>
          <w:sz w:val="32"/>
          <w:szCs w:val="32"/>
          <w:lang w:val="en-US" w:eastAsia="zh-CN"/>
        </w:rPr>
        <w:t>36.4</w:t>
      </w:r>
      <w:r>
        <w:rPr>
          <w:rFonts w:hint="eastAsia" w:ascii="仿宋_GB2312" w:hAnsi="仿宋_GB2312" w:eastAsia="仿宋_GB2312" w:cs="仿宋_GB2312"/>
          <w:color w:val="000000"/>
          <w:spacing w:val="-2"/>
          <w:sz w:val="32"/>
          <w:szCs w:val="32"/>
        </w:rPr>
        <w:t>万元，自筹资金</w:t>
      </w:r>
      <w:r>
        <w:rPr>
          <w:rFonts w:hint="eastAsia" w:ascii="仿宋_GB2312" w:hAnsi="仿宋_GB2312" w:eastAsia="仿宋_GB2312" w:cs="仿宋_GB2312"/>
          <w:color w:val="000000"/>
          <w:spacing w:val="-2"/>
          <w:sz w:val="32"/>
          <w:szCs w:val="32"/>
          <w:lang w:val="en-US" w:eastAsia="zh-CN"/>
        </w:rPr>
        <w:t>0</w:t>
      </w:r>
      <w:r>
        <w:rPr>
          <w:rFonts w:hint="eastAsia" w:ascii="仿宋_GB2312" w:hAnsi="仿宋_GB2312" w:eastAsia="仿宋_GB2312" w:cs="仿宋_GB2312"/>
          <w:color w:val="000000"/>
          <w:spacing w:val="-2"/>
          <w:sz w:val="32"/>
          <w:szCs w:val="32"/>
        </w:rPr>
        <w:t>万元，2018年实际收到预算资金</w:t>
      </w:r>
      <w:r>
        <w:rPr>
          <w:rFonts w:hint="eastAsia" w:ascii="仿宋_GB2312" w:hAnsi="仿宋_GB2312" w:eastAsia="仿宋_GB2312" w:cs="仿宋_GB2312"/>
          <w:color w:val="000000"/>
          <w:spacing w:val="-2"/>
          <w:sz w:val="32"/>
          <w:szCs w:val="32"/>
          <w:lang w:val="en-US" w:eastAsia="zh-CN"/>
        </w:rPr>
        <w:t>36.4</w:t>
      </w:r>
      <w:r>
        <w:rPr>
          <w:rFonts w:hint="eastAsia" w:ascii="仿宋_GB2312" w:hAnsi="仿宋_GB2312" w:eastAsia="仿宋_GB2312" w:cs="仿宋_GB2312"/>
          <w:color w:val="000000"/>
          <w:spacing w:val="-2"/>
          <w:sz w:val="32"/>
          <w:szCs w:val="32"/>
        </w:rPr>
        <w:t>万元。</w:t>
      </w:r>
    </w:p>
    <w:p>
      <w:pPr>
        <w:adjustRightInd w:val="0"/>
        <w:snapToGrid w:val="0"/>
        <w:spacing w:line="560" w:lineRule="exact"/>
        <w:ind w:firstLine="627" w:firstLineChars="200"/>
        <w:outlineLvl w:val="0"/>
        <w:rPr>
          <w:rStyle w:val="21"/>
          <w:rFonts w:ascii="楷体" w:hAnsi="楷体" w:eastAsia="楷体"/>
          <w:spacing w:val="-4"/>
          <w:sz w:val="32"/>
          <w:szCs w:val="32"/>
        </w:rPr>
      </w:pPr>
      <w:r>
        <w:rPr>
          <w:rStyle w:val="21"/>
          <w:rFonts w:hint="eastAsia" w:ascii="楷体" w:hAnsi="楷体" w:eastAsia="楷体"/>
          <w:spacing w:val="-4"/>
          <w:sz w:val="32"/>
          <w:szCs w:val="32"/>
        </w:rPr>
        <w:t>（二）项目资金实际使用情况分析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rPr>
      </w:pPr>
      <w:r>
        <w:rPr>
          <w:rFonts w:hint="eastAsia" w:ascii="仿宋_GB2312" w:hAnsi="仿宋_GB2312" w:eastAsia="仿宋_GB2312" w:cs="仿宋_GB2312"/>
          <w:color w:val="000000"/>
          <w:spacing w:val="-2"/>
          <w:sz w:val="32"/>
          <w:szCs w:val="32"/>
        </w:rPr>
        <w:t>主要分析项目资金使用明细情况，对各项支出进行明细说明。</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rPr>
      </w:pPr>
      <w:r>
        <w:rPr>
          <w:rFonts w:hint="eastAsia" w:ascii="仿宋_GB2312" w:hAnsi="仿宋_GB2312" w:eastAsia="仿宋_GB2312" w:cs="仿宋_GB2312"/>
          <w:color w:val="000000"/>
          <w:spacing w:val="-2"/>
          <w:sz w:val="32"/>
          <w:szCs w:val="32"/>
        </w:rPr>
        <w:t>本项目实际支付资金</w:t>
      </w:r>
      <w:r>
        <w:rPr>
          <w:rFonts w:hint="eastAsia" w:ascii="仿宋_GB2312" w:hAnsi="仿宋_GB2312" w:eastAsia="仿宋_GB2312" w:cs="仿宋_GB2312"/>
          <w:color w:val="000000"/>
          <w:spacing w:val="-2"/>
          <w:sz w:val="32"/>
          <w:szCs w:val="32"/>
          <w:lang w:val="en-US" w:eastAsia="zh-CN"/>
        </w:rPr>
        <w:t>36.4</w:t>
      </w:r>
      <w:r>
        <w:rPr>
          <w:rFonts w:hint="eastAsia" w:ascii="仿宋_GB2312" w:hAnsi="仿宋_GB2312" w:eastAsia="仿宋_GB2312" w:cs="仿宋_GB2312"/>
          <w:color w:val="000000"/>
          <w:spacing w:val="-2"/>
          <w:sz w:val="32"/>
          <w:szCs w:val="32"/>
        </w:rPr>
        <w:t>万元，预算执行率</w:t>
      </w:r>
      <w:r>
        <w:rPr>
          <w:rFonts w:hint="eastAsia" w:ascii="仿宋_GB2312" w:hAnsi="仿宋_GB2312" w:eastAsia="仿宋_GB2312" w:cs="仿宋_GB2312"/>
          <w:color w:val="000000"/>
          <w:spacing w:val="-2"/>
          <w:sz w:val="32"/>
          <w:szCs w:val="32"/>
          <w:lang w:val="en-US" w:eastAsia="zh-CN"/>
        </w:rPr>
        <w:t>100</w:t>
      </w:r>
      <w:r>
        <w:rPr>
          <w:rFonts w:hint="eastAsia" w:ascii="仿宋_GB2312" w:hAnsi="仿宋_GB2312" w:eastAsia="仿宋_GB2312" w:cs="仿宋_GB2312"/>
          <w:color w:val="000000"/>
          <w:spacing w:val="-2"/>
          <w:sz w:val="32"/>
          <w:szCs w:val="32"/>
        </w:rPr>
        <w:t>%。项目资金主要用于支付环境影响报告费用</w:t>
      </w:r>
      <w:r>
        <w:rPr>
          <w:rFonts w:hint="eastAsia" w:ascii="仿宋_GB2312" w:hAnsi="仿宋_GB2312" w:eastAsia="仿宋_GB2312" w:cs="仿宋_GB2312"/>
          <w:color w:val="000000"/>
          <w:spacing w:val="-2"/>
          <w:sz w:val="32"/>
          <w:szCs w:val="32"/>
          <w:lang w:val="en-US" w:eastAsia="zh-CN"/>
        </w:rPr>
        <w:t>36.4</w:t>
      </w:r>
      <w:r>
        <w:rPr>
          <w:rFonts w:hint="eastAsia" w:ascii="仿宋_GB2312" w:hAnsi="仿宋_GB2312" w:eastAsia="仿宋_GB2312" w:cs="仿宋_GB2312"/>
          <w:color w:val="000000"/>
          <w:spacing w:val="-2"/>
          <w:sz w:val="32"/>
          <w:szCs w:val="32"/>
        </w:rPr>
        <w:t>万元。</w:t>
      </w:r>
    </w:p>
    <w:p>
      <w:pPr>
        <w:adjustRightInd w:val="0"/>
        <w:snapToGrid w:val="0"/>
        <w:spacing w:line="560" w:lineRule="exact"/>
        <w:ind w:firstLine="627" w:firstLineChars="200"/>
        <w:outlineLvl w:val="0"/>
        <w:rPr>
          <w:rStyle w:val="21"/>
          <w:rFonts w:ascii="楷体" w:hAnsi="楷体" w:eastAsia="楷体"/>
          <w:spacing w:val="-4"/>
          <w:sz w:val="32"/>
          <w:szCs w:val="32"/>
        </w:rPr>
      </w:pPr>
      <w:r>
        <w:rPr>
          <w:rStyle w:val="21"/>
          <w:rFonts w:hint="eastAsia" w:ascii="楷体" w:hAnsi="楷体" w:eastAsia="楷体"/>
          <w:spacing w:val="-4"/>
          <w:sz w:val="32"/>
          <w:szCs w:val="32"/>
        </w:rPr>
        <w:t>（三）项目资金管理情况分析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rPr>
      </w:pPr>
      <w:r>
        <w:rPr>
          <w:rFonts w:hint="eastAsia" w:ascii="仿宋_GB2312" w:hAnsi="仿宋_GB2312" w:eastAsia="仿宋_GB2312" w:cs="仿宋_GB2312"/>
          <w:color w:val="000000"/>
          <w:spacing w:val="-2"/>
          <w:sz w:val="32"/>
          <w:szCs w:val="32"/>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21"/>
          <w:rFonts w:ascii="黑体" w:hAnsi="黑体" w:eastAsia="黑体"/>
          <w:b w:val="0"/>
          <w:spacing w:val="-4"/>
          <w:sz w:val="32"/>
          <w:szCs w:val="32"/>
        </w:rPr>
      </w:pPr>
      <w:r>
        <w:rPr>
          <w:rStyle w:val="21"/>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21"/>
          <w:rFonts w:ascii="楷体" w:hAnsi="楷体" w:eastAsia="楷体"/>
          <w:spacing w:val="-4"/>
          <w:sz w:val="32"/>
          <w:szCs w:val="32"/>
        </w:rPr>
      </w:pPr>
      <w:r>
        <w:rPr>
          <w:rStyle w:val="21"/>
          <w:rFonts w:hint="eastAsia" w:ascii="楷体" w:hAnsi="楷体" w:eastAsia="楷体"/>
          <w:spacing w:val="-4"/>
          <w:sz w:val="32"/>
          <w:szCs w:val="32"/>
        </w:rPr>
        <w:t>（一）项目组织情况分析</w:t>
      </w:r>
    </w:p>
    <w:p>
      <w:pPr>
        <w:adjustRightInd w:val="0"/>
        <w:snapToGrid w:val="0"/>
        <w:spacing w:line="560" w:lineRule="exact"/>
        <w:ind w:firstLine="632" w:firstLineChars="200"/>
        <w:rPr>
          <w:rFonts w:hint="eastAsia" w:ascii="仿宋_GB2312" w:hAnsi="仿宋_GB2312" w:eastAsia="仿宋_GB2312" w:cs="仿宋_GB2312"/>
          <w:color w:val="000000" w:themeColor="text1"/>
          <w:spacing w:val="-2"/>
          <w:sz w:val="32"/>
          <w:szCs w:val="32"/>
          <w14:textFill>
            <w14:solidFill>
              <w14:schemeClr w14:val="tx1"/>
            </w14:solidFill>
          </w14:textFill>
        </w:rPr>
      </w:pPr>
      <w:r>
        <w:rPr>
          <w:rFonts w:hint="eastAsia" w:ascii="仿宋_GB2312" w:hAnsi="仿宋_GB2312" w:eastAsia="仿宋_GB2312" w:cs="仿宋_GB2312"/>
          <w:color w:val="000000" w:themeColor="text1"/>
          <w:spacing w:val="-2"/>
          <w:sz w:val="32"/>
          <w:szCs w:val="32"/>
        </w:rPr>
        <w:t>该项目属于</w:t>
      </w:r>
      <w:r>
        <w:rPr>
          <w:rFonts w:hint="eastAsia" w:ascii="仿宋_GB2312" w:hAnsi="仿宋_GB2312" w:eastAsia="仿宋_GB2312" w:cs="仿宋_GB2312"/>
          <w:color w:val="000000" w:themeColor="text1"/>
          <w:spacing w:val="-2"/>
          <w:sz w:val="32"/>
          <w:szCs w:val="32"/>
          <w:lang w:eastAsia="zh-CN"/>
        </w:rPr>
        <w:t>补做以前项目环评</w:t>
      </w:r>
      <w:r>
        <w:rPr>
          <w:rFonts w:hint="eastAsia" w:ascii="仿宋_GB2312" w:hAnsi="仿宋_GB2312" w:eastAsia="仿宋_GB2312" w:cs="仿宋_GB2312"/>
          <w:color w:val="000000" w:themeColor="text1"/>
          <w:spacing w:val="-2"/>
          <w:sz w:val="32"/>
          <w:szCs w:val="32"/>
        </w:rPr>
        <w:t>,没有达到招投标限额,由本单位自行组织实施。</w:t>
      </w:r>
      <w:r>
        <w:rPr>
          <w:rFonts w:hint="eastAsia" w:ascii="仿宋_GB2312" w:hAnsi="仿宋_GB2312" w:eastAsia="仿宋_GB2312" w:cs="仿宋_GB2312"/>
          <w:color w:val="000000" w:themeColor="text1"/>
          <w:spacing w:val="-2"/>
          <w:sz w:val="32"/>
          <w:szCs w:val="32"/>
          <w14:textFill>
            <w14:solidFill>
              <w14:schemeClr w14:val="tx1"/>
            </w14:solidFill>
          </w14:textFill>
        </w:rPr>
        <w:t>实施过程均按照本单位制定的管理制度执行。本项目不存在调整情况。本项目不存在检查验收程序。</w:t>
      </w:r>
    </w:p>
    <w:p>
      <w:pPr>
        <w:adjustRightInd w:val="0"/>
        <w:snapToGrid w:val="0"/>
        <w:spacing w:line="560" w:lineRule="exact"/>
        <w:ind w:firstLine="627" w:firstLineChars="200"/>
        <w:outlineLvl w:val="0"/>
        <w:rPr>
          <w:rStyle w:val="21"/>
          <w:rFonts w:ascii="楷体" w:hAnsi="楷体" w:eastAsia="楷体"/>
          <w:spacing w:val="-4"/>
          <w:sz w:val="32"/>
          <w:szCs w:val="32"/>
        </w:rPr>
      </w:pPr>
      <w:r>
        <w:rPr>
          <w:rStyle w:val="21"/>
          <w:rFonts w:hint="eastAsia" w:ascii="楷体" w:hAnsi="楷体" w:eastAsia="楷体"/>
          <w:spacing w:val="-4"/>
          <w:sz w:val="32"/>
          <w:szCs w:val="32"/>
        </w:rPr>
        <w:t>（二）项目管理情况分析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项目的实施遵守相关法律法规和业务管理规定，项目资料齐全并及时归档。不定期对项目进度情况进行督导检查，对检查过程中发现的问题及时督促整改，确保了项目按时保质完成。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21"/>
          <w:rFonts w:ascii="黑体" w:hAnsi="黑体" w:eastAsia="黑体"/>
        </w:rPr>
      </w:pPr>
      <w:r>
        <w:rPr>
          <w:rStyle w:val="21"/>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21"/>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本项目共设置一级指标</w:t>
      </w:r>
      <w:r>
        <w:rPr>
          <w:rFonts w:hint="eastAsia" w:ascii="仿宋_GB2312" w:hAnsi="仿宋_GB2312" w:eastAsia="仿宋_GB2312" w:cs="仿宋_GB2312"/>
          <w:color w:val="000000"/>
          <w:spacing w:val="-2"/>
          <w:sz w:val="32"/>
          <w:szCs w:val="32"/>
          <w:lang w:val="en-US" w:eastAsia="zh-CN"/>
        </w:rPr>
        <w:t>3</w:t>
      </w:r>
      <w:r>
        <w:rPr>
          <w:rFonts w:hint="eastAsia" w:ascii="仿宋_GB2312" w:hAnsi="仿宋_GB2312" w:eastAsia="仿宋_GB2312" w:cs="仿宋_GB2312"/>
          <w:color w:val="000000"/>
          <w:spacing w:val="-2"/>
          <w:sz w:val="32"/>
          <w:szCs w:val="32"/>
          <w:lang w:eastAsia="zh-CN"/>
        </w:rPr>
        <w:t>个，二级指标</w:t>
      </w:r>
      <w:r>
        <w:rPr>
          <w:rFonts w:hint="eastAsia" w:ascii="仿宋_GB2312" w:hAnsi="仿宋_GB2312" w:eastAsia="仿宋_GB2312" w:cs="仿宋_GB2312"/>
          <w:color w:val="000000"/>
          <w:spacing w:val="-2"/>
          <w:sz w:val="32"/>
          <w:szCs w:val="32"/>
          <w:lang w:val="en-US" w:eastAsia="zh-CN"/>
        </w:rPr>
        <w:t>9</w:t>
      </w:r>
      <w:r>
        <w:rPr>
          <w:rFonts w:hint="eastAsia" w:ascii="仿宋_GB2312" w:hAnsi="仿宋_GB2312" w:eastAsia="仿宋_GB2312" w:cs="仿宋_GB2312"/>
          <w:color w:val="000000"/>
          <w:spacing w:val="-2"/>
          <w:sz w:val="32"/>
          <w:szCs w:val="32"/>
          <w:lang w:eastAsia="zh-CN"/>
        </w:rPr>
        <w:t>个，三级指标</w:t>
      </w:r>
      <w:r>
        <w:rPr>
          <w:rFonts w:hint="eastAsia" w:ascii="仿宋_GB2312" w:hAnsi="仿宋_GB2312" w:eastAsia="仿宋_GB2312" w:cs="仿宋_GB2312"/>
          <w:color w:val="000000"/>
          <w:spacing w:val="-2"/>
          <w:sz w:val="32"/>
          <w:szCs w:val="32"/>
          <w:lang w:val="en-US" w:eastAsia="zh-CN"/>
        </w:rPr>
        <w:t>13</w:t>
      </w:r>
      <w:r>
        <w:rPr>
          <w:rFonts w:hint="eastAsia" w:ascii="仿宋_GB2312" w:hAnsi="仿宋_GB2312" w:eastAsia="仿宋_GB2312" w:cs="仿宋_GB2312"/>
          <w:color w:val="000000"/>
          <w:spacing w:val="-2"/>
          <w:sz w:val="32"/>
          <w:szCs w:val="32"/>
          <w:lang w:eastAsia="zh-CN"/>
        </w:rPr>
        <w:t>个，其中已完成三级指标</w:t>
      </w:r>
      <w:r>
        <w:rPr>
          <w:rFonts w:hint="eastAsia" w:ascii="仿宋_GB2312" w:hAnsi="仿宋_GB2312" w:eastAsia="仿宋_GB2312" w:cs="仿宋_GB2312"/>
          <w:color w:val="000000"/>
          <w:spacing w:val="-2"/>
          <w:sz w:val="32"/>
          <w:szCs w:val="32"/>
          <w:lang w:val="en-US" w:eastAsia="zh-CN"/>
        </w:rPr>
        <w:t>11</w:t>
      </w:r>
      <w:r>
        <w:rPr>
          <w:rFonts w:hint="eastAsia" w:ascii="仿宋_GB2312" w:hAnsi="仿宋_GB2312" w:eastAsia="仿宋_GB2312" w:cs="仿宋_GB2312"/>
          <w:color w:val="000000"/>
          <w:spacing w:val="-2"/>
          <w:sz w:val="32"/>
          <w:szCs w:val="32"/>
          <w:lang w:eastAsia="zh-CN"/>
        </w:rPr>
        <w:t>个，指标完成率为</w:t>
      </w:r>
      <w:r>
        <w:rPr>
          <w:rFonts w:hint="eastAsia" w:ascii="仿宋_GB2312" w:hAnsi="仿宋_GB2312" w:eastAsia="仿宋_GB2312" w:cs="仿宋_GB2312"/>
          <w:color w:val="000000"/>
          <w:spacing w:val="-2"/>
          <w:sz w:val="32"/>
          <w:szCs w:val="32"/>
          <w:lang w:val="en-US" w:eastAsia="zh-CN"/>
        </w:rPr>
        <w:t>99</w:t>
      </w:r>
      <w:r>
        <w:rPr>
          <w:rFonts w:hint="eastAsia" w:ascii="仿宋_GB2312" w:hAnsi="仿宋_GB2312" w:eastAsia="仿宋_GB2312" w:cs="仿宋_GB2312"/>
          <w:color w:val="000000"/>
          <w:spacing w:val="-2"/>
          <w:sz w:val="32"/>
          <w:szCs w:val="32"/>
          <w:lang w:eastAsia="zh-CN"/>
        </w:rPr>
        <w:t>%。</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经济性：主要根据项目实际情况和项目经济效益设置的指标进行综合分析，主要包括项目成本控制情况和项目成本节约情况。</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效率性：主要通过对比分析项目的实施进度和完成质量。</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效益性：主要分析项目实施后对于经济和社会的影响。</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不存在未完成情况:“2018年本项目绩效目标全部达成，不存在未完成原因分析。”</w:t>
      </w:r>
    </w:p>
    <w:p>
      <w:pPr>
        <w:adjustRightInd w:val="0"/>
        <w:snapToGrid w:val="0"/>
        <w:spacing w:line="560" w:lineRule="exact"/>
        <w:ind w:firstLine="624" w:firstLineChars="200"/>
        <w:outlineLvl w:val="0"/>
        <w:rPr>
          <w:rStyle w:val="21"/>
          <w:rFonts w:ascii="黑体" w:hAnsi="黑体" w:eastAsia="黑体"/>
          <w:b w:val="0"/>
          <w:spacing w:val="-4"/>
          <w:sz w:val="32"/>
          <w:szCs w:val="32"/>
        </w:rPr>
      </w:pPr>
      <w:r>
        <w:rPr>
          <w:rStyle w:val="21"/>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32" w:firstLineChars="200"/>
        <w:outlineLvl w:val="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水资源综合利用规划报告由档案室存档；</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2"/>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主要经验及做法</w:t>
      </w:r>
    </w:p>
    <w:p>
      <w:pPr>
        <w:numPr>
          <w:ilvl w:val="0"/>
          <w:numId w:val="0"/>
        </w:numPr>
        <w:adjustRightInd w:val="0"/>
        <w:snapToGrid w:val="0"/>
        <w:spacing w:line="560" w:lineRule="exact"/>
        <w:ind w:firstLine="936" w:firstLineChars="3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专款专用；</w:t>
      </w:r>
    </w:p>
    <w:p>
      <w:pPr>
        <w:numPr>
          <w:ilvl w:val="0"/>
          <w:numId w:val="2"/>
        </w:numPr>
        <w:adjustRightInd w:val="0"/>
        <w:snapToGrid w:val="0"/>
        <w:spacing w:line="560" w:lineRule="exact"/>
        <w:ind w:left="0" w:leftChars="0"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存在的问题</w:t>
      </w:r>
    </w:p>
    <w:p>
      <w:pPr>
        <w:numPr>
          <w:ilvl w:val="0"/>
          <w:numId w:val="0"/>
        </w:numPr>
        <w:adjustRightInd w:val="0"/>
        <w:snapToGrid w:val="0"/>
        <w:spacing w:line="560" w:lineRule="exact"/>
        <w:ind w:leftChars="200" w:firstLine="312" w:firstLineChars="1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无</w:t>
      </w:r>
    </w:p>
    <w:p>
      <w:pPr>
        <w:numPr>
          <w:ilvl w:val="0"/>
          <w:numId w:val="2"/>
        </w:numPr>
        <w:adjustRightInd w:val="0"/>
        <w:snapToGrid w:val="0"/>
        <w:spacing w:line="560" w:lineRule="exact"/>
        <w:ind w:left="0" w:leftChars="0"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建议</w:t>
      </w:r>
    </w:p>
    <w:p>
      <w:pPr>
        <w:numPr>
          <w:ilvl w:val="0"/>
          <w:numId w:val="0"/>
        </w:numPr>
        <w:adjustRightInd w:val="0"/>
        <w:snapToGrid w:val="0"/>
        <w:spacing w:line="560" w:lineRule="exact"/>
        <w:ind w:leftChars="200" w:firstLine="312" w:firstLineChars="1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21"/>
          <w:rFonts w:hint="eastAsia" w:ascii="黑体" w:hAnsi="黑体" w:eastAsia="黑体"/>
          <w:b w:val="0"/>
          <w:spacing w:val="-4"/>
          <w:sz w:val="32"/>
          <w:szCs w:val="32"/>
        </w:rPr>
        <w:t>六、项目评价工作情况</w:t>
      </w:r>
    </w:p>
    <w:p>
      <w:pPr>
        <w:topLinePunct/>
        <w:snapToGrid w:val="0"/>
        <w:spacing w:line="360" w:lineRule="auto"/>
        <w:ind w:firstLine="632" w:firstLineChars="200"/>
        <w:rPr>
          <w:rFonts w:hint="eastAsia" w:ascii="仿宋_GB2312" w:hAnsi="仿宋_GB2312" w:eastAsia="仿宋_GB2312" w:cs="仿宋_GB2312"/>
          <w:color w:val="000000"/>
          <w:spacing w:val="-2"/>
          <w:sz w:val="32"/>
          <w:szCs w:val="32"/>
          <w:lang w:eastAsia="zh-CN"/>
        </w:rPr>
      </w:pPr>
      <w:r>
        <w:rPr>
          <w:rFonts w:hint="eastAsia" w:ascii="仿宋_GB2312" w:hAnsi="仿宋_GB2312" w:eastAsia="仿宋_GB2312" w:cs="仿宋_GB2312"/>
          <w:color w:val="000000"/>
          <w:spacing w:val="-2"/>
          <w:sz w:val="32"/>
          <w:szCs w:val="32"/>
          <w:lang w:eastAsia="zh-CN"/>
        </w:rPr>
        <w:t>本次评价通过文件研读、实地调研、数据分析等方式，全面了解水资源综合利用规划报告项目资金的使用效率和效果，项目管理过程是否规范，是否完成了预期绩效目标等。同时，通过开展自我评价来总结经验和教训，为喀什区水资源综合利用规划报告项目今后的开展提供参考建议。</w:t>
      </w:r>
    </w:p>
    <w:p>
      <w:pPr>
        <w:adjustRightInd w:val="0"/>
        <w:snapToGrid w:val="0"/>
        <w:spacing w:line="560" w:lineRule="exact"/>
        <w:ind w:firstLine="624" w:firstLineChars="200"/>
        <w:outlineLvl w:val="0"/>
        <w:rPr>
          <w:rStyle w:val="21"/>
          <w:rFonts w:ascii="黑体" w:hAnsi="黑体" w:eastAsia="黑体"/>
          <w:b w:val="0"/>
          <w:spacing w:val="-4"/>
          <w:sz w:val="32"/>
          <w:szCs w:val="32"/>
        </w:rPr>
      </w:pPr>
      <w:r>
        <w:rPr>
          <w:rStyle w:val="21"/>
          <w:rFonts w:hint="eastAsia" w:ascii="黑体" w:hAnsi="黑体" w:eastAsia="黑体"/>
          <w:b w:val="0"/>
          <w:spacing w:val="-4"/>
          <w:sz w:val="32"/>
          <w:szCs w:val="32"/>
        </w:rPr>
        <w:t>七、附表</w:t>
      </w:r>
    </w:p>
    <w:p>
      <w:pPr>
        <w:adjustRightInd w:val="0"/>
        <w:snapToGrid w:val="0"/>
        <w:spacing w:line="560" w:lineRule="exact"/>
        <w:ind w:firstLine="624" w:firstLineChars="200"/>
        <w:rPr>
          <w:rStyle w:val="21"/>
          <w:rFonts w:ascii="仿宋" w:hAnsi="仿宋" w:eastAsia="仿宋"/>
          <w:b w:val="0"/>
          <w:spacing w:val="-4"/>
          <w:sz w:val="32"/>
          <w:szCs w:val="32"/>
        </w:rPr>
      </w:pPr>
      <w:r>
        <w:rPr>
          <w:rStyle w:val="21"/>
          <w:rFonts w:hint="eastAsia" w:ascii="仿宋" w:hAnsi="仿宋" w:eastAsia="仿宋"/>
          <w:b w:val="0"/>
          <w:spacing w:val="-4"/>
          <w:sz w:val="32"/>
          <w:szCs w:val="32"/>
        </w:rPr>
        <w:t>《项目支出绩效目标自评表》</w:t>
      </w: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rPr>
          <w:rFonts w:hint="eastAsia" w:ascii="仿宋" w:hAnsi="仿宋" w:eastAsia="仿宋"/>
          <w:sz w:val="32"/>
          <w:szCs w:val="32"/>
        </w:rPr>
      </w:pPr>
    </w:p>
    <w:p>
      <w:pPr>
        <w:adjustRightInd w:val="0"/>
        <w:snapToGrid w:val="0"/>
        <w:spacing w:line="560" w:lineRule="exact"/>
        <w:rPr>
          <w:rFonts w:ascii="仿宋" w:hAnsi="仿宋" w:eastAsia="仿宋"/>
          <w:sz w:val="32"/>
          <w:szCs w:val="32"/>
        </w:rPr>
      </w:pPr>
      <w:r>
        <w:rPr>
          <w:rFonts w:hint="eastAsia" w:ascii="仿宋" w:hAnsi="仿宋" w:eastAsia="仿宋"/>
          <w:sz w:val="32"/>
          <w:szCs w:val="32"/>
        </w:rPr>
        <w:t>附表填制说明（2018年12月18日）</w:t>
      </w:r>
    </w:p>
    <w:p>
      <w:pPr>
        <w:adjustRightInd w:val="0"/>
        <w:snapToGrid w:val="0"/>
        <w:spacing w:line="560" w:lineRule="exact"/>
        <w:ind w:firstLine="640" w:firstLineChars="200"/>
        <w:rPr>
          <w:bCs/>
          <w:sz w:val="32"/>
          <w:szCs w:val="32"/>
        </w:rPr>
      </w:pPr>
      <w:r>
        <w:rPr>
          <w:rFonts w:hint="eastAsia"/>
          <w:bCs/>
          <w:sz w:val="32"/>
          <w:szCs w:val="32"/>
        </w:rPr>
        <w:t>1.项目名称填制要求必须带有“项目”字样，《新疆财政支出绩效自评报告》《部门预算项目支出绩效目标申报表》《项目支出绩效目标自评表》的项目名称须保持完全一致。</w:t>
      </w:r>
    </w:p>
    <w:p>
      <w:pPr>
        <w:adjustRightInd w:val="0"/>
        <w:snapToGrid w:val="0"/>
        <w:spacing w:line="560" w:lineRule="exact"/>
        <w:ind w:firstLine="640" w:firstLineChars="200"/>
        <w:rPr>
          <w:bCs/>
          <w:sz w:val="32"/>
          <w:szCs w:val="32"/>
        </w:rPr>
      </w:pPr>
      <w:r>
        <w:rPr>
          <w:rFonts w:hint="eastAsia"/>
          <w:bCs/>
          <w:sz w:val="32"/>
          <w:szCs w:val="32"/>
        </w:rPr>
        <w:t>2.根据《部门预算项目支出绩效目标申报表》和《项目支出绩效目标自评表》中的字体要求填写（宋体12号字），不得随意调整。</w:t>
      </w:r>
    </w:p>
    <w:p>
      <w:pPr>
        <w:adjustRightInd w:val="0"/>
        <w:snapToGrid w:val="0"/>
        <w:spacing w:line="560" w:lineRule="exact"/>
        <w:ind w:firstLine="640" w:firstLineChars="200"/>
        <w:rPr>
          <w:bCs/>
          <w:sz w:val="32"/>
          <w:szCs w:val="32"/>
        </w:rPr>
      </w:pPr>
      <w:r>
        <w:rPr>
          <w:rFonts w:hint="eastAsia"/>
          <w:bCs/>
          <w:sz w:val="32"/>
          <w:szCs w:val="32"/>
        </w:rPr>
        <w:t>3.要求打印出的表格不能存在遮盖的文字，表格填制完毕后通过打印预览查看是否存在文字遮盖的情况，如存在需调整表格行高，保证文字全部显现。</w:t>
      </w:r>
    </w:p>
    <w:p>
      <w:pPr>
        <w:adjustRightInd w:val="0"/>
        <w:snapToGrid w:val="0"/>
        <w:spacing w:line="560" w:lineRule="exact"/>
        <w:ind w:firstLine="640" w:firstLineChars="200"/>
        <w:rPr>
          <w:bCs/>
          <w:sz w:val="32"/>
          <w:szCs w:val="32"/>
        </w:rPr>
      </w:pPr>
      <w:r>
        <w:rPr>
          <w:rFonts w:hint="eastAsia"/>
          <w:bCs/>
          <w:sz w:val="32"/>
          <w:szCs w:val="32"/>
        </w:rPr>
        <w:t>4.要求填制表格中具体指标的数值全部居中，表格其他内容按格式填写，不得自行调整。</w:t>
      </w:r>
    </w:p>
    <w:p>
      <w:pPr>
        <w:adjustRightInd w:val="0"/>
        <w:snapToGrid w:val="0"/>
        <w:spacing w:line="560" w:lineRule="exact"/>
        <w:ind w:firstLine="640" w:firstLineChars="200"/>
        <w:rPr>
          <w:rFonts w:hint="eastAsia"/>
          <w:bCs/>
          <w:sz w:val="32"/>
          <w:szCs w:val="32"/>
        </w:rPr>
      </w:pPr>
      <w:r>
        <w:rPr>
          <w:rFonts w:hint="eastAsia"/>
          <w:bCs/>
          <w:sz w:val="32"/>
          <w:szCs w:val="32"/>
        </w:rPr>
        <w:t>5.三级指标名称全部左对齐。</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6.</w:t>
      </w:r>
      <w:r>
        <w:rPr>
          <w:rFonts w:hint="eastAsia"/>
          <w:bCs/>
          <w:sz w:val="32"/>
          <w:szCs w:val="32"/>
        </w:rPr>
        <w:t>《部门预算项目支出绩效目标申报表》和《项目支出绩效目标自评表》</w:t>
      </w:r>
      <w:r>
        <w:rPr>
          <w:rFonts w:hint="eastAsia" w:ascii="仿宋" w:hAnsi="仿宋" w:eastAsia="仿宋"/>
          <w:sz w:val="32"/>
          <w:szCs w:val="32"/>
        </w:rPr>
        <w:t>表格格式及内容必须严格按照附件填写，不可随意删除内容，包括表格下方的经办人、单位负责人、申报时间、联系电话等。</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7.</w:t>
      </w:r>
      <w:r>
        <w:rPr>
          <w:rFonts w:hint="eastAsia"/>
          <w:bCs/>
          <w:sz w:val="32"/>
          <w:szCs w:val="32"/>
        </w:rPr>
        <w:t xml:space="preserve"> 《部门预算项目支出绩效目标申报表》中的</w:t>
      </w:r>
      <w:r>
        <w:rPr>
          <w:rFonts w:hint="eastAsia" w:ascii="仿宋" w:hAnsi="仿宋" w:eastAsia="仿宋"/>
          <w:sz w:val="32"/>
          <w:szCs w:val="32"/>
        </w:rPr>
        <w:t>总体目标和《</w:t>
      </w:r>
      <w:r>
        <w:rPr>
          <w:rFonts w:hint="eastAsia"/>
          <w:bCs/>
          <w:sz w:val="32"/>
          <w:szCs w:val="32"/>
        </w:rPr>
        <w:t>项目支出绩效目标自评表》</w:t>
      </w:r>
      <w:r>
        <w:rPr>
          <w:rFonts w:hint="eastAsia" w:ascii="仿宋" w:hAnsi="仿宋" w:eastAsia="仿宋"/>
          <w:sz w:val="32"/>
          <w:szCs w:val="32"/>
        </w:rPr>
        <w:t>中的预期目标和实际完成目标必须分项罗列，且包含所有设置的三级指标。</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8.部门预算项目支出绩效目标表与项目支出绩效目标自评表中的指标内容和排列顺序必须完全一致。</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9.设置指标值和实际完成值时，不可填列区间数，例如：办理案件数量23-25件。符号必须准确表述：&gt;、&lt;、=、≥≤。</w:t>
      </w:r>
    </w:p>
    <w:p>
      <w:pPr>
        <w:adjustRightInd w:val="0"/>
        <w:snapToGrid w:val="0"/>
        <w:spacing w:line="560" w:lineRule="exact"/>
        <w:ind w:firstLine="640" w:firstLineChars="200"/>
        <w:rPr>
          <w:rStyle w:val="21"/>
          <w:rFonts w:ascii="仿宋" w:hAnsi="仿宋" w:eastAsia="仿宋"/>
          <w:spacing w:val="-4"/>
          <w:sz w:val="32"/>
          <w:szCs w:val="32"/>
        </w:rPr>
      </w:pPr>
      <w:r>
        <w:rPr>
          <w:rFonts w:hint="eastAsia" w:ascii="仿宋" w:hAnsi="仿宋" w:eastAsia="仿宋"/>
          <w:sz w:val="32"/>
          <w:szCs w:val="32"/>
        </w:rPr>
        <w:t>10. 部门预算项目支出绩效目标表的申报时间统一为2017年12月10日-2017年12月30日，项目支出绩效目标自</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
    <w:altName w:val="楷体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仿宋">
    <w:altName w:val="微软雅黑"/>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1A0F3C52" w:usb2="00000010"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6"/>
          <w:jc w:val="center"/>
        </w:pPr>
        <w:r>
          <w:fldChar w:fldCharType="begin"/>
        </w:r>
        <w:r>
          <w:instrText xml:space="preserve">PAGE   \* MERGEFORMAT</w:instrText>
        </w:r>
        <w:r>
          <w:fldChar w:fldCharType="separate"/>
        </w:r>
        <w:r>
          <w:rPr>
            <w:lang w:val="zh-CN"/>
          </w:rPr>
          <w:t>2</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F4CBC7"/>
    <w:multiLevelType w:val="singleLevel"/>
    <w:tmpl w:val="ABF4CBC7"/>
    <w:lvl w:ilvl="0" w:tentative="0">
      <w:start w:val="1"/>
      <w:numFmt w:val="decimal"/>
      <w:suff w:val="nothing"/>
      <w:lvlText w:val="%1、"/>
      <w:lvlJc w:val="left"/>
    </w:lvl>
  </w:abstractNum>
  <w:abstractNum w:abstractNumId="1">
    <w:nsid w:val="E74EBB20"/>
    <w:multiLevelType w:val="singleLevel"/>
    <w:tmpl w:val="E74EBB20"/>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25A1689"/>
    <w:rsid w:val="08A35187"/>
    <w:rsid w:val="372D7BA4"/>
    <w:rsid w:val="460D663D"/>
    <w:rsid w:val="530F0FA4"/>
    <w:rsid w:val="7D440F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Char"/>
    <w:qFormat/>
    <w:uiPriority w:val="0"/>
    <w:pPr>
      <w:widowControl w:val="0"/>
      <w:overflowPunct w:val="0"/>
      <w:snapToGrid w:val="0"/>
      <w:spacing w:line="360" w:lineRule="auto"/>
      <w:ind w:firstLine="480" w:firstLineChars="200"/>
    </w:pPr>
    <w:rPr>
      <w:rFonts w:ascii="仿宋_GB2312" w:hAnsi="宋体" w:eastAsia="仿宋_GB2312" w:cs="Times New Roman"/>
      <w:snapToGrid w:val="0"/>
      <w:sz w:val="24"/>
      <w:szCs w:val="24"/>
      <w:lang w:val="en-US" w:eastAsia="zh-CN" w:bidi="ar-SA"/>
    </w:rPr>
  </w:style>
  <w:style w:type="paragraph" w:styleId="12">
    <w:name w:val="Normal Indent"/>
    <w:basedOn w:val="1"/>
    <w:qFormat/>
    <w:uiPriority w:val="0"/>
    <w:pPr>
      <w:ind w:firstLine="420" w:firstLineChars="200"/>
    </w:pPr>
    <w:rPr>
      <w:rFonts w:ascii="Times New Roman" w:hAnsi="Times New Roman" w:eastAsia="宋体" w:cs="Times New Roman"/>
      <w:sz w:val="28"/>
      <w:szCs w:val="24"/>
    </w:rPr>
  </w:style>
  <w:style w:type="paragraph" w:styleId="13">
    <w:name w:val="Document Map"/>
    <w:basedOn w:val="1"/>
    <w:link w:val="49"/>
    <w:semiHidden/>
    <w:unhideWhenUsed/>
    <w:qFormat/>
    <w:uiPriority w:val="99"/>
    <w:rPr>
      <w:rFonts w:ascii="宋体"/>
      <w:sz w:val="18"/>
      <w:szCs w:val="18"/>
    </w:rPr>
  </w:style>
  <w:style w:type="paragraph" w:styleId="14">
    <w:name w:val="annotation text"/>
    <w:basedOn w:val="1"/>
    <w:qFormat/>
    <w:uiPriority w:val="0"/>
    <w:pPr>
      <w:spacing w:line="600" w:lineRule="exact"/>
      <w:jc w:val="left"/>
    </w:pPr>
  </w:style>
  <w:style w:type="paragraph" w:styleId="15">
    <w:name w:val="Balloon Text"/>
    <w:basedOn w:val="1"/>
    <w:link w:val="50"/>
    <w:semiHidden/>
    <w:unhideWhenUsed/>
    <w:qFormat/>
    <w:uiPriority w:val="99"/>
    <w:rPr>
      <w:sz w:val="18"/>
      <w:szCs w:val="18"/>
    </w:rPr>
  </w:style>
  <w:style w:type="paragraph" w:styleId="16">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9">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4">
    <w:name w:val="标题 1 Char"/>
    <w:basedOn w:val="20"/>
    <w:link w:val="3"/>
    <w:qFormat/>
    <w:uiPriority w:val="9"/>
    <w:rPr>
      <w:rFonts w:asciiTheme="majorHAnsi" w:hAnsiTheme="majorHAnsi" w:eastAsiaTheme="majorEastAsia"/>
      <w:b/>
      <w:bCs/>
      <w:kern w:val="32"/>
      <w:sz w:val="32"/>
      <w:szCs w:val="32"/>
    </w:rPr>
  </w:style>
  <w:style w:type="character" w:customStyle="1" w:styleId="25">
    <w:name w:val="标题 2 Char"/>
    <w:basedOn w:val="20"/>
    <w:link w:val="4"/>
    <w:semiHidden/>
    <w:qFormat/>
    <w:uiPriority w:val="9"/>
    <w:rPr>
      <w:rFonts w:asciiTheme="majorHAnsi" w:hAnsiTheme="majorHAnsi" w:eastAsiaTheme="majorEastAsia"/>
      <w:b/>
      <w:bCs/>
      <w:i/>
      <w:iCs/>
      <w:sz w:val="28"/>
      <w:szCs w:val="28"/>
    </w:rPr>
  </w:style>
  <w:style w:type="character" w:customStyle="1" w:styleId="26">
    <w:name w:val="标题 3 Char"/>
    <w:basedOn w:val="20"/>
    <w:link w:val="5"/>
    <w:semiHidden/>
    <w:qFormat/>
    <w:uiPriority w:val="9"/>
    <w:rPr>
      <w:rFonts w:asciiTheme="majorHAnsi" w:hAnsiTheme="majorHAnsi" w:eastAsiaTheme="majorEastAsia"/>
      <w:b/>
      <w:bCs/>
      <w:sz w:val="26"/>
      <w:szCs w:val="26"/>
    </w:rPr>
  </w:style>
  <w:style w:type="character" w:customStyle="1" w:styleId="27">
    <w:name w:val="标题 4 Char"/>
    <w:basedOn w:val="20"/>
    <w:link w:val="6"/>
    <w:semiHidden/>
    <w:uiPriority w:val="9"/>
    <w:rPr>
      <w:b/>
      <w:bCs/>
      <w:sz w:val="28"/>
      <w:szCs w:val="28"/>
    </w:rPr>
  </w:style>
  <w:style w:type="character" w:customStyle="1" w:styleId="28">
    <w:name w:val="标题 5 Char"/>
    <w:basedOn w:val="20"/>
    <w:link w:val="7"/>
    <w:semiHidden/>
    <w:qFormat/>
    <w:uiPriority w:val="9"/>
    <w:rPr>
      <w:b/>
      <w:bCs/>
      <w:i/>
      <w:iCs/>
      <w:sz w:val="26"/>
      <w:szCs w:val="26"/>
    </w:rPr>
  </w:style>
  <w:style w:type="character" w:customStyle="1" w:styleId="29">
    <w:name w:val="标题 6 Char"/>
    <w:basedOn w:val="20"/>
    <w:link w:val="8"/>
    <w:semiHidden/>
    <w:qFormat/>
    <w:uiPriority w:val="9"/>
    <w:rPr>
      <w:b/>
      <w:bCs/>
    </w:rPr>
  </w:style>
  <w:style w:type="character" w:customStyle="1" w:styleId="30">
    <w:name w:val="标题 7 Char"/>
    <w:basedOn w:val="20"/>
    <w:link w:val="9"/>
    <w:semiHidden/>
    <w:qFormat/>
    <w:uiPriority w:val="9"/>
    <w:rPr>
      <w:sz w:val="24"/>
      <w:szCs w:val="24"/>
    </w:rPr>
  </w:style>
  <w:style w:type="character" w:customStyle="1" w:styleId="31">
    <w:name w:val="标题 8 Char"/>
    <w:basedOn w:val="20"/>
    <w:link w:val="10"/>
    <w:semiHidden/>
    <w:qFormat/>
    <w:uiPriority w:val="9"/>
    <w:rPr>
      <w:i/>
      <w:iCs/>
      <w:sz w:val="24"/>
      <w:szCs w:val="24"/>
    </w:rPr>
  </w:style>
  <w:style w:type="character" w:customStyle="1" w:styleId="32">
    <w:name w:val="标题 9 Char"/>
    <w:basedOn w:val="20"/>
    <w:link w:val="11"/>
    <w:semiHidden/>
    <w:qFormat/>
    <w:uiPriority w:val="9"/>
    <w:rPr>
      <w:rFonts w:asciiTheme="majorHAnsi" w:hAnsiTheme="majorHAnsi" w:eastAsiaTheme="majorEastAsia"/>
    </w:rPr>
  </w:style>
  <w:style w:type="character" w:customStyle="1" w:styleId="33">
    <w:name w:val="标题 Char"/>
    <w:basedOn w:val="20"/>
    <w:link w:val="19"/>
    <w:qFormat/>
    <w:uiPriority w:val="10"/>
    <w:rPr>
      <w:rFonts w:asciiTheme="majorHAnsi" w:hAnsiTheme="majorHAnsi" w:eastAsiaTheme="majorEastAsia"/>
      <w:b/>
      <w:bCs/>
      <w:kern w:val="28"/>
      <w:sz w:val="32"/>
      <w:szCs w:val="32"/>
    </w:rPr>
  </w:style>
  <w:style w:type="character" w:customStyle="1" w:styleId="34">
    <w:name w:val="副标题 Char"/>
    <w:basedOn w:val="20"/>
    <w:link w:val="18"/>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Char"/>
    <w:basedOn w:val="20"/>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Char"/>
    <w:basedOn w:val="20"/>
    <w:link w:val="39"/>
    <w:qFormat/>
    <w:uiPriority w:val="30"/>
    <w:rPr>
      <w:b/>
      <w:i/>
      <w:sz w:val="24"/>
    </w:rPr>
  </w:style>
  <w:style w:type="character" w:customStyle="1" w:styleId="41">
    <w:name w:val="Subtle Emphasis"/>
    <w:qFormat/>
    <w:uiPriority w:val="19"/>
    <w:rPr>
      <w:i/>
      <w:color w:val="595959" w:themeColor="text1" w:themeTint="A5"/>
    </w:rPr>
  </w:style>
  <w:style w:type="character" w:customStyle="1" w:styleId="42">
    <w:name w:val="Intense Emphasis"/>
    <w:basedOn w:val="20"/>
    <w:qFormat/>
    <w:uiPriority w:val="21"/>
    <w:rPr>
      <w:b/>
      <w:i/>
      <w:sz w:val="24"/>
      <w:szCs w:val="24"/>
      <w:u w:val="single"/>
    </w:rPr>
  </w:style>
  <w:style w:type="character" w:customStyle="1" w:styleId="43">
    <w:name w:val="Subtle Reference"/>
    <w:basedOn w:val="20"/>
    <w:qFormat/>
    <w:uiPriority w:val="31"/>
    <w:rPr>
      <w:sz w:val="24"/>
      <w:szCs w:val="24"/>
      <w:u w:val="single"/>
    </w:rPr>
  </w:style>
  <w:style w:type="character" w:customStyle="1" w:styleId="44">
    <w:name w:val="Intense Reference"/>
    <w:basedOn w:val="20"/>
    <w:qFormat/>
    <w:uiPriority w:val="32"/>
    <w:rPr>
      <w:b/>
      <w:sz w:val="24"/>
      <w:u w:val="single"/>
    </w:rPr>
  </w:style>
  <w:style w:type="character" w:customStyle="1" w:styleId="45">
    <w:name w:val="Book Title"/>
    <w:basedOn w:val="20"/>
    <w:qFormat/>
    <w:uiPriority w:val="33"/>
    <w:rPr>
      <w:rFonts w:asciiTheme="majorHAnsi" w:hAnsiTheme="majorHAnsi" w:eastAsiaTheme="majorEastAsia"/>
      <w:b/>
      <w:i/>
      <w:sz w:val="24"/>
      <w:szCs w:val="24"/>
    </w:rPr>
  </w:style>
  <w:style w:type="paragraph" w:customStyle="1" w:styleId="46">
    <w:name w:val="TOC Heading"/>
    <w:basedOn w:val="3"/>
    <w:next w:val="1"/>
    <w:semiHidden/>
    <w:unhideWhenUsed/>
    <w:qFormat/>
    <w:uiPriority w:val="39"/>
    <w:pPr>
      <w:outlineLvl w:val="9"/>
    </w:pPr>
    <w:rPr>
      <w:lang w:eastAsia="en-US" w:bidi="en-US"/>
    </w:rPr>
  </w:style>
  <w:style w:type="character" w:customStyle="1" w:styleId="47">
    <w:name w:val="页眉 Char"/>
    <w:basedOn w:val="20"/>
    <w:link w:val="17"/>
    <w:qFormat/>
    <w:uiPriority w:val="99"/>
    <w:rPr>
      <w:rFonts w:ascii="Calibri" w:hAnsi="Calibri" w:eastAsia="宋体"/>
      <w:kern w:val="2"/>
      <w:sz w:val="18"/>
      <w:szCs w:val="18"/>
    </w:rPr>
  </w:style>
  <w:style w:type="character" w:customStyle="1" w:styleId="48">
    <w:name w:val="页脚 Char"/>
    <w:basedOn w:val="20"/>
    <w:link w:val="16"/>
    <w:qFormat/>
    <w:uiPriority w:val="99"/>
    <w:rPr>
      <w:rFonts w:ascii="Calibri" w:hAnsi="Calibri" w:eastAsia="宋体"/>
      <w:kern w:val="2"/>
      <w:sz w:val="18"/>
      <w:szCs w:val="18"/>
    </w:rPr>
  </w:style>
  <w:style w:type="character" w:customStyle="1" w:styleId="49">
    <w:name w:val="文档结构图 Char"/>
    <w:basedOn w:val="20"/>
    <w:link w:val="13"/>
    <w:semiHidden/>
    <w:uiPriority w:val="99"/>
    <w:rPr>
      <w:rFonts w:ascii="宋体" w:hAnsi="Times New Roman" w:eastAsia="宋体"/>
      <w:kern w:val="2"/>
      <w:sz w:val="18"/>
      <w:szCs w:val="18"/>
    </w:rPr>
  </w:style>
  <w:style w:type="character" w:customStyle="1" w:styleId="50">
    <w:name w:val="批注框文本 Char"/>
    <w:basedOn w:val="20"/>
    <w:link w:val="15"/>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3</TotalTime>
  <ScaleCrop>false</ScaleCrop>
  <LinksUpToDate>false</LinksUpToDate>
  <CharactersWithSpaces>2449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2019-01-30T03:48:23Z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